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7407" w14:textId="5F3E97F7" w:rsidR="00E2778A" w:rsidRDefault="00E2778A" w:rsidP="00E2778A">
      <w:pPr>
        <w:pStyle w:val="Heading3"/>
        <w:jc w:val="center"/>
      </w:pPr>
      <w:r w:rsidRPr="00327A33">
        <w:t>Exhibit A-1 to Resolution PC</w:t>
      </w:r>
      <w:r w:rsidR="00FA3AF4" w:rsidRPr="00327A33">
        <w:t xml:space="preserve"> </w:t>
      </w:r>
      <w:r w:rsidRPr="00327A33">
        <w:t>202</w:t>
      </w:r>
      <w:r w:rsidR="005336B7" w:rsidRPr="00327A33">
        <w:t>2-0</w:t>
      </w:r>
      <w:r w:rsidR="00327A33" w:rsidRPr="00327A33">
        <w:t>18</w:t>
      </w:r>
      <w:r w:rsidRPr="009640FC">
        <w:br/>
        <w:t>Notations and Recommended Conditions of Approval</w:t>
      </w:r>
    </w:p>
    <w:p w14:paraId="7D949D77" w14:textId="0C56AFE8" w:rsidR="00B61683" w:rsidRPr="005E4B24" w:rsidRDefault="00204269" w:rsidP="005E4B24">
      <w:pPr>
        <w:rPr>
          <w:b/>
          <w:bCs/>
        </w:rPr>
      </w:pPr>
      <w:r w:rsidRPr="005E4B24">
        <w:rPr>
          <w:b/>
          <w:bCs/>
        </w:rPr>
        <w:t>Notations</w:t>
      </w:r>
    </w:p>
    <w:p w14:paraId="4B1285AC" w14:textId="40CB4ED0" w:rsidR="00E2778A" w:rsidRDefault="00E2778A" w:rsidP="00E2778A">
      <w:pPr>
        <w:pStyle w:val="ListParagraph"/>
        <w:numPr>
          <w:ilvl w:val="0"/>
          <w:numId w:val="1"/>
        </w:numPr>
      </w:pPr>
      <w:r>
        <w:t xml:space="preserve">Within ten (10) days following the date of the decision of the </w:t>
      </w:r>
      <w:r w:rsidR="0059315E">
        <w:t>Siskiyou County Planning Commission, the decision may be appealed to the Siskiyou County Board of Supervisors. The appeal shall be filed with the Clerk of the Board of Supervisors.</w:t>
      </w:r>
    </w:p>
    <w:p w14:paraId="529B563B" w14:textId="5CE04A06" w:rsidR="0059315E" w:rsidRDefault="0059315E" w:rsidP="00E2778A">
      <w:pPr>
        <w:pStyle w:val="ListParagraph"/>
        <w:numPr>
          <w:ilvl w:val="0"/>
          <w:numId w:val="1"/>
        </w:numPr>
      </w:pPr>
      <w:r>
        <w:t>If timber is to be commercially harvested as part of the zone change, the conditions set forth in the California Forest Practice Rules pertaining to Conversion of Timberland (Title 14, CCR, Article 7, Section 1104.02) shall be adhered to.</w:t>
      </w:r>
    </w:p>
    <w:p w14:paraId="58E92785" w14:textId="73C1AAB7" w:rsidR="0059315E" w:rsidRDefault="0059315E" w:rsidP="00E2778A">
      <w:pPr>
        <w:pStyle w:val="ListParagraph"/>
        <w:numPr>
          <w:ilvl w:val="0"/>
          <w:numId w:val="1"/>
        </w:numPr>
      </w:pPr>
      <w:r>
        <w:t>If any timber operations (as defined by PRC Section 4527) are involved with a project, they must be approved by Cal Fire prior to undertaking operations. A Timber Harvesting Plan (THP) may be required. A Timberland Conversion Permit (TCP) may also be required.</w:t>
      </w:r>
    </w:p>
    <w:p w14:paraId="1B543ECE" w14:textId="24E8306F" w:rsidR="00021427" w:rsidRDefault="0059315E" w:rsidP="00021427">
      <w:pPr>
        <w:pStyle w:val="ListParagraph"/>
        <w:numPr>
          <w:ilvl w:val="0"/>
          <w:numId w:val="1"/>
        </w:numPr>
      </w:pPr>
      <w:r>
        <w:t>If a proposed project will result in the conversion of greater than three (3) acres of timberland to non-timber use, a TCP is required prior to undertaking any conversion operations. Provisions and procedures for filing an application for a TCP are found in Article 9</w:t>
      </w:r>
      <w:r w:rsidR="00C66569">
        <w:t xml:space="preserve"> of</w:t>
      </w:r>
      <w:r>
        <w:t xml:space="preserve"> Division 4, Chapter 8 of the Public</w:t>
      </w:r>
      <w:r w:rsidR="00021427">
        <w:t xml:space="preserve"> Resources Code. If the area to be converted is less than three acres, the project may qualify for a “Less Than 3-Acre Conversion Exemption” under 14CCR 1104.</w:t>
      </w:r>
    </w:p>
    <w:p w14:paraId="3B90037B" w14:textId="12500CFE" w:rsidR="00826AFA" w:rsidRDefault="00826AFA" w:rsidP="00021427">
      <w:pPr>
        <w:pStyle w:val="ListParagraph"/>
        <w:numPr>
          <w:ilvl w:val="0"/>
          <w:numId w:val="1"/>
        </w:numPr>
      </w:pPr>
      <w:r>
        <w:t>A building permit must be obtained prior to any future development or placement of structures on the property. This requirement includes</w:t>
      </w:r>
      <w:r w:rsidR="00527D47">
        <w:t>, but is not limited to,</w:t>
      </w:r>
      <w:r>
        <w:t xml:space="preserve"> any enlargement, alteration, replacement, repair, or improvement of any existing structures.</w:t>
      </w:r>
    </w:p>
    <w:p w14:paraId="33AF00DC" w14:textId="77777777" w:rsidR="00743A5C" w:rsidRDefault="00743A5C">
      <w:pPr>
        <w:spacing w:before="0" w:after="160"/>
        <w:rPr>
          <w:b/>
          <w:bCs/>
        </w:rPr>
      </w:pPr>
      <w:r>
        <w:rPr>
          <w:b/>
          <w:bCs/>
        </w:rPr>
        <w:br w:type="page"/>
      </w:r>
    </w:p>
    <w:p w14:paraId="056463F7" w14:textId="0D3C8533" w:rsidR="00021427" w:rsidRPr="005E4B24" w:rsidRDefault="00021427" w:rsidP="002A4726">
      <w:pPr>
        <w:spacing w:before="360"/>
        <w:rPr>
          <w:b/>
          <w:bCs/>
        </w:rPr>
      </w:pPr>
      <w:bookmarkStart w:id="0" w:name="_Hlk100743385"/>
      <w:r w:rsidRPr="005E4B24">
        <w:rPr>
          <w:b/>
          <w:bCs/>
        </w:rPr>
        <w:lastRenderedPageBreak/>
        <w:t>Conditions of Approval</w:t>
      </w:r>
      <w:r w:rsidR="00E61838">
        <w:rPr>
          <w:b/>
          <w:bCs/>
        </w:rPr>
        <w:t xml:space="preserve"> (for UP </w:t>
      </w:r>
      <w:r w:rsidR="00BA6345">
        <w:rPr>
          <w:b/>
          <w:bCs/>
        </w:rPr>
        <w:t>11</w:t>
      </w:r>
      <w:r w:rsidR="00E61838">
        <w:rPr>
          <w:b/>
          <w:bCs/>
        </w:rPr>
        <w:t>-</w:t>
      </w:r>
      <w:r w:rsidR="00BA6345">
        <w:rPr>
          <w:b/>
          <w:bCs/>
        </w:rPr>
        <w:t>15</w:t>
      </w:r>
      <w:r w:rsidR="00E61838">
        <w:rPr>
          <w:b/>
          <w:bCs/>
        </w:rPr>
        <w:t>)</w:t>
      </w:r>
      <w:bookmarkEnd w:id="0"/>
    </w:p>
    <w:p w14:paraId="64CE8B59" w14:textId="404CBD1F" w:rsidR="00021427" w:rsidRDefault="00021427" w:rsidP="00021427">
      <w:pPr>
        <w:pStyle w:val="ListParagraph"/>
        <w:numPr>
          <w:ilvl w:val="0"/>
          <w:numId w:val="2"/>
        </w:numPr>
      </w:pPr>
      <w:bookmarkStart w:id="1" w:name="_Hlk100744048"/>
      <w:r>
        <w:t>The project shall substantial</w:t>
      </w:r>
      <w:r w:rsidR="005E4B24">
        <w:t>ly</w:t>
      </w:r>
      <w:r>
        <w:t xml:space="preserve"> conform to the project description</w:t>
      </w:r>
      <w:r w:rsidR="00664081">
        <w:t xml:space="preserve"> </w:t>
      </w:r>
      <w:r>
        <w:t xml:space="preserve">reviewed by the Planning Commission on </w:t>
      </w:r>
      <w:r w:rsidR="00FE74FF">
        <w:t>August 17</w:t>
      </w:r>
      <w:r w:rsidR="00AA1934">
        <w:t>, 2022</w:t>
      </w:r>
      <w:r w:rsidR="005336B7">
        <w:t>, and subsequently approved by the Siskiyou County Board of Supervisors</w:t>
      </w:r>
      <w:r w:rsidR="00232EAC">
        <w:t xml:space="preserve">. </w:t>
      </w:r>
      <w:r>
        <w:t>Any proposed amendment(s) shall be submitted for consideration to the Deputy Director of Planning to determine the review process pursuant to the Siskiyou County Code.</w:t>
      </w:r>
      <w:r w:rsidR="005458A7">
        <w:t xml:space="preserve"> Minor amendments shall be considered by the Community Development Director. Major amendments shall be considered by the Planning Commission.</w:t>
      </w:r>
    </w:p>
    <w:bookmarkEnd w:id="1"/>
    <w:p w14:paraId="1F2EC7E1" w14:textId="11AFCB23" w:rsidR="0068314F" w:rsidRDefault="0068314F" w:rsidP="00021427">
      <w:pPr>
        <w:pStyle w:val="ListParagraph"/>
        <w:numPr>
          <w:ilvl w:val="0"/>
          <w:numId w:val="2"/>
        </w:numPr>
      </w:pPr>
      <w:r>
        <w:t xml:space="preserve">Any future development or land uses shall comply with the </w:t>
      </w:r>
      <w:r w:rsidR="002358DC">
        <w:t>R-R</w:t>
      </w:r>
      <w:r w:rsidR="00295E21">
        <w:t xml:space="preserve"> and AG-1</w:t>
      </w:r>
      <w:r>
        <w:t xml:space="preserve"> zoning </w:t>
      </w:r>
      <w:r w:rsidR="00E45A00">
        <w:t>districts</w:t>
      </w:r>
      <w:r w:rsidR="00657483">
        <w:t>.</w:t>
      </w:r>
    </w:p>
    <w:p w14:paraId="7A24019F" w14:textId="505CEDAF" w:rsidR="00EE375E" w:rsidRDefault="00232EAC" w:rsidP="00021427">
      <w:pPr>
        <w:pStyle w:val="ListParagraph"/>
        <w:numPr>
          <w:ilvl w:val="0"/>
          <w:numId w:val="2"/>
        </w:numPr>
      </w:pPr>
      <w:r>
        <w:t>Development of the subject property</w:t>
      </w:r>
      <w:r w:rsidR="00EE375E">
        <w:t xml:space="preserve"> shall comply with all adopted rules and regulations of the Siskiyou County Code an</w:t>
      </w:r>
      <w:r>
        <w:t>d</w:t>
      </w:r>
      <w:r w:rsidR="00EE375E">
        <w:t xml:space="preserve"> all other local and </w:t>
      </w:r>
      <w:r w:rsidR="00BD4DA8">
        <w:t xml:space="preserve">State and/or Federal </w:t>
      </w:r>
      <w:r w:rsidR="00EE375E">
        <w:t>regulatory agencies.</w:t>
      </w:r>
    </w:p>
    <w:p w14:paraId="545C7C3B" w14:textId="294620D1" w:rsidR="002358DC" w:rsidRDefault="002358DC" w:rsidP="00B01D22">
      <w:pPr>
        <w:pStyle w:val="ListParagraph"/>
        <w:numPr>
          <w:ilvl w:val="0"/>
          <w:numId w:val="2"/>
        </w:numPr>
      </w:pPr>
      <w:r>
        <w:t>Prior to the issuance of the Use Permit, the project must comply with all applicable</w:t>
      </w:r>
      <w:r w:rsidR="00AC5D80">
        <w:t xml:space="preserve"> 2014</w:t>
      </w:r>
      <w:r>
        <w:t xml:space="preserve"> 4290 </w:t>
      </w:r>
      <w:r w:rsidR="00B56D95">
        <w:t xml:space="preserve">standards </w:t>
      </w:r>
      <w:r>
        <w:t>identified by CAL FIRE</w:t>
      </w:r>
      <w:r w:rsidR="00CA03EA">
        <w:t xml:space="preserve"> in their letter dated December 2, 2018</w:t>
      </w:r>
      <w:r w:rsidR="00293D58">
        <w:t>, meet all 4291 requirements of the Public Resource Code, and implementation of the Forest Management Plan</w:t>
      </w:r>
      <w:r w:rsidR="005E418E">
        <w:t xml:space="preserve"> to the satisfaction of Cal Fire</w:t>
      </w:r>
      <w:r w:rsidR="00293D58">
        <w:t>.</w:t>
      </w:r>
    </w:p>
    <w:p w14:paraId="307325CA" w14:textId="731252EB" w:rsidR="002358DC" w:rsidRDefault="002358DC" w:rsidP="00B01D22">
      <w:pPr>
        <w:pStyle w:val="ListParagraph"/>
        <w:numPr>
          <w:ilvl w:val="0"/>
          <w:numId w:val="2"/>
        </w:numPr>
      </w:pPr>
      <w:r>
        <w:t>Prior to the construction of the pond, the applicant must meet all requirements identified by Department of Water Resources</w:t>
      </w:r>
      <w:r w:rsidR="00C4692A">
        <w:t xml:space="preserve">, </w:t>
      </w:r>
      <w:r w:rsidR="005E4774">
        <w:t>the United States Army Corps of Engineers (USACE)</w:t>
      </w:r>
      <w:r w:rsidR="00C4692A">
        <w:t>, or any other State and/or Federal agency requirements</w:t>
      </w:r>
      <w:r>
        <w:t>.</w:t>
      </w:r>
    </w:p>
    <w:p w14:paraId="7FFC3E30" w14:textId="55553978" w:rsidR="002358DC" w:rsidRDefault="002358DC" w:rsidP="00B01D22">
      <w:pPr>
        <w:pStyle w:val="ListParagraph"/>
        <w:numPr>
          <w:ilvl w:val="0"/>
          <w:numId w:val="2"/>
        </w:numPr>
      </w:pPr>
      <w:r>
        <w:t>A</w:t>
      </w:r>
      <w:r w:rsidR="00FE74FF">
        <w:t>n approved</w:t>
      </w:r>
      <w:r>
        <w:t xml:space="preserve"> Dust Control Plan is required prior to the </w:t>
      </w:r>
      <w:r w:rsidR="002A72F4">
        <w:t xml:space="preserve">construction </w:t>
      </w:r>
      <w:r w:rsidR="007957E3">
        <w:t xml:space="preserve">of any onsite improvements that have the potential to generate dust. </w:t>
      </w:r>
    </w:p>
    <w:p w14:paraId="2ACFF0B2" w14:textId="30E9F877" w:rsidR="00295A3E" w:rsidRDefault="004D3497" w:rsidP="00FE74FF">
      <w:pPr>
        <w:pStyle w:val="ListParagraph"/>
        <w:numPr>
          <w:ilvl w:val="0"/>
          <w:numId w:val="2"/>
        </w:numPr>
      </w:pPr>
      <w:r>
        <w:t>If vegetation removal occurs during the Pacific Fisher denning season (March through August), a</w:t>
      </w:r>
      <w:r w:rsidR="00295A3E">
        <w:t xml:space="preserve"> Pacific Fisher pre-construction survey must be submitted to California Department of Fish and Wildlife</w:t>
      </w:r>
      <w:r w:rsidR="007957E3">
        <w:t xml:space="preserve"> and the County Planning Division</w:t>
      </w:r>
      <w:r w:rsidR="00295A3E">
        <w:t>.</w:t>
      </w:r>
    </w:p>
    <w:p w14:paraId="1299EB12" w14:textId="4A8BA918" w:rsidR="00295A3E" w:rsidRDefault="00295A3E" w:rsidP="00FE74FF">
      <w:pPr>
        <w:pStyle w:val="ListParagraph"/>
        <w:numPr>
          <w:ilvl w:val="0"/>
          <w:numId w:val="2"/>
        </w:numPr>
      </w:pPr>
      <w:r w:rsidRPr="00295A3E">
        <w:t>No rodenticides shall be used to control the proliferation of rodents.</w:t>
      </w:r>
    </w:p>
    <w:p w14:paraId="6AE2E09F" w14:textId="3C625EAC" w:rsidR="00295A3E" w:rsidRDefault="00295A3E" w:rsidP="00FE74FF">
      <w:pPr>
        <w:pStyle w:val="ListParagraph"/>
        <w:numPr>
          <w:ilvl w:val="0"/>
          <w:numId w:val="2"/>
        </w:numPr>
      </w:pPr>
      <w:r>
        <w:t xml:space="preserve"> Vegetation removal shall be consistent with adopted Mitigation Measure 4.4</w:t>
      </w:r>
      <w:r w:rsidR="00254E66">
        <w:t xml:space="preserve"> (Biological Resources)</w:t>
      </w:r>
      <w:r>
        <w:t xml:space="preserve"> contained in the Environmental Impact </w:t>
      </w:r>
      <w:r w:rsidR="001E2E1F">
        <w:t>Report</w:t>
      </w:r>
      <w:r>
        <w:t xml:space="preserve"> (EIR).</w:t>
      </w:r>
    </w:p>
    <w:p w14:paraId="3E027899" w14:textId="42651146" w:rsidR="00E45A00" w:rsidRDefault="007957E3" w:rsidP="00687EED">
      <w:pPr>
        <w:pStyle w:val="ListParagraph"/>
        <w:numPr>
          <w:ilvl w:val="0"/>
          <w:numId w:val="2"/>
        </w:numPr>
      </w:pPr>
      <w:r>
        <w:t>The</w:t>
      </w:r>
      <w:r w:rsidR="00E45A00">
        <w:t xml:space="preserve"> </w:t>
      </w:r>
      <w:r w:rsidR="00637D6E">
        <w:t>Wildland Fire Emergency Plan</w:t>
      </w:r>
      <w:r w:rsidR="00687EED">
        <w:t xml:space="preserve"> and a facility inspection</w:t>
      </w:r>
      <w:r w:rsidR="00E45A00">
        <w:t xml:space="preserve"> </w:t>
      </w:r>
      <w:r>
        <w:t xml:space="preserve">will be reviewed by </w:t>
      </w:r>
      <w:r w:rsidR="00687EED">
        <w:t>the Fire Marshall annually prior to the start of the summer operating season.</w:t>
      </w:r>
    </w:p>
    <w:p w14:paraId="527F977E" w14:textId="4387B97B" w:rsidR="001E2E1F" w:rsidRDefault="001E2E1F" w:rsidP="001E2E1F">
      <w:pPr>
        <w:pStyle w:val="ListParagraph"/>
        <w:numPr>
          <w:ilvl w:val="0"/>
          <w:numId w:val="2"/>
        </w:numPr>
      </w:pPr>
      <w:r>
        <w:t xml:space="preserve">A stormwater pollution prevention plan (SWPPP), </w:t>
      </w:r>
      <w:r w:rsidR="00687EED">
        <w:t xml:space="preserve">shall be </w:t>
      </w:r>
      <w:r>
        <w:t>completed by a Qualified Storm Water Pollution Prevention Plan Developer (QSD), shall be submitted to the Siskiyou County Community Development Department – Planning Division for review and approval</w:t>
      </w:r>
      <w:r w:rsidR="00170DB6">
        <w:t xml:space="preserve"> prior to the start of construction on new or expanded camp facilities</w:t>
      </w:r>
      <w:r>
        <w:t>.</w:t>
      </w:r>
    </w:p>
    <w:p w14:paraId="4EFE4B39" w14:textId="76D02658" w:rsidR="001E2E1F" w:rsidRDefault="001E2E1F" w:rsidP="001E2E1F">
      <w:pPr>
        <w:pStyle w:val="ListParagraph"/>
        <w:numPr>
          <w:ilvl w:val="0"/>
          <w:numId w:val="2"/>
        </w:numPr>
      </w:pPr>
      <w:r>
        <w:lastRenderedPageBreak/>
        <w:t xml:space="preserve">If </w:t>
      </w:r>
      <w:r w:rsidR="00893D17">
        <w:t>necessary</w:t>
      </w:r>
      <w:r>
        <w:t>, an application for a Section 404 permit shall be approved by the USACE prior to any land disturbance activities that would result in the dredge, fill, or alteration of hydrology to any jurisdictional waters.</w:t>
      </w:r>
    </w:p>
    <w:p w14:paraId="08D63B68" w14:textId="12A4970E" w:rsidR="004640BA" w:rsidRDefault="004640BA" w:rsidP="00E45A00">
      <w:pPr>
        <w:pStyle w:val="ListParagraph"/>
        <w:numPr>
          <w:ilvl w:val="0"/>
          <w:numId w:val="2"/>
        </w:numPr>
      </w:pPr>
      <w:r>
        <w:t>If, during the course of project implementation, cultural resources (i.e., prehistoric</w:t>
      </w:r>
      <w:r w:rsidR="00E45A00">
        <w:t xml:space="preserve"> </w:t>
      </w:r>
      <w:r>
        <w:t>sites, historic features, isolated artifacts, and features such as concentrations of shell or glass) or paleontological resources (e.g., fossils) are discovered, all work shall cease in the area of the find, the Siskiyou County Community Development Department – Planning Division shall be immediately notified, and a professional archaeologist/paleontologist that meets the Secretary of the Interior’s Professional Qualifications Standards in prehistoric or historical archaeology shall be retained to determine the significance of the discovery.</w:t>
      </w:r>
    </w:p>
    <w:p w14:paraId="7EA0C043" w14:textId="577859AE" w:rsidR="004640BA" w:rsidRDefault="004640BA" w:rsidP="004640BA">
      <w:pPr>
        <w:pStyle w:val="ListParagraph"/>
        <w:numPr>
          <w:ilvl w:val="0"/>
          <w:numId w:val="2"/>
        </w:numPr>
      </w:pPr>
      <w:r>
        <w:t>The applicant must carry out requirements identified in Mitigation Measure 6.1</w:t>
      </w:r>
      <w:r w:rsidR="00254E66">
        <w:t xml:space="preserve"> (Geology and Soils)</w:t>
      </w:r>
      <w:r>
        <w:t xml:space="preserve"> contained in the Environmental Impact Report (EIR).</w:t>
      </w:r>
    </w:p>
    <w:p w14:paraId="3F15560E" w14:textId="78EF15E1" w:rsidR="00327A33" w:rsidRDefault="00327A33" w:rsidP="004640BA">
      <w:pPr>
        <w:pStyle w:val="ListParagraph"/>
        <w:numPr>
          <w:ilvl w:val="0"/>
          <w:numId w:val="2"/>
        </w:numPr>
      </w:pPr>
      <w:r>
        <w:t>The project applicant shall coordinate with the County Public Works Department to clear up any vegetation</w:t>
      </w:r>
      <w:r w:rsidR="00170DB6">
        <w:t xml:space="preserve"> on South Kidder Creek Road</w:t>
      </w:r>
      <w:r>
        <w:t>, if deemed necessary.</w:t>
      </w:r>
    </w:p>
    <w:p w14:paraId="4CD38666" w14:textId="460D7014" w:rsidR="00327A33" w:rsidRDefault="00327A33" w:rsidP="004640BA">
      <w:pPr>
        <w:pStyle w:val="ListParagraph"/>
        <w:numPr>
          <w:ilvl w:val="0"/>
          <w:numId w:val="2"/>
        </w:numPr>
      </w:pPr>
      <w:r>
        <w:t xml:space="preserve">No fireworks or campfires shall be utilized on site unless otherwise approved by </w:t>
      </w:r>
      <w:r w:rsidR="00170DB6">
        <w:t>CAL FIRE</w:t>
      </w:r>
      <w:r>
        <w:t xml:space="preserve">. </w:t>
      </w:r>
    </w:p>
    <w:p w14:paraId="3BF315CA" w14:textId="73DCA101" w:rsidR="00893D17" w:rsidRDefault="00893D17" w:rsidP="004640BA">
      <w:pPr>
        <w:pStyle w:val="ListParagraph"/>
        <w:numPr>
          <w:ilvl w:val="0"/>
          <w:numId w:val="2"/>
        </w:numPr>
      </w:pPr>
      <w:r>
        <w:t>All Mitigation Measures contained in the Environmental Impact Report must be met.</w:t>
      </w:r>
    </w:p>
    <w:p w14:paraId="581B71F1" w14:textId="08D6AA4D" w:rsidR="00293D58" w:rsidRPr="00293D58" w:rsidRDefault="00293D58" w:rsidP="00293D58">
      <w:pPr>
        <w:pStyle w:val="ListParagraph"/>
        <w:numPr>
          <w:ilvl w:val="0"/>
          <w:numId w:val="2"/>
        </w:numPr>
      </w:pPr>
      <w:r w:rsidRPr="00293D58">
        <w:t xml:space="preserve">Daily occupancy shall not exceed 622 people on site. With the exception of the annual (one time per year event) </w:t>
      </w:r>
      <w:r>
        <w:t>A</w:t>
      </w:r>
      <w:r w:rsidRPr="00293D58">
        <w:t xml:space="preserve">utumn </w:t>
      </w:r>
      <w:r>
        <w:t>F</w:t>
      </w:r>
      <w:r w:rsidRPr="00293D58">
        <w:t>estival</w:t>
      </w:r>
      <w:r w:rsidR="005E418E">
        <w:t xml:space="preserve"> which shall not exceed 1250 persons on site</w:t>
      </w:r>
      <w:r w:rsidRPr="00293D58">
        <w:t xml:space="preserve">. Daily records of site attendance shall be maintained and subject to inspection by </w:t>
      </w:r>
      <w:r>
        <w:t>the Community Development Department</w:t>
      </w:r>
      <w:r w:rsidRPr="00293D58">
        <w:t xml:space="preserve"> at will. A 5-year review shall be conducte</w:t>
      </w:r>
      <w:r w:rsidR="005E418E">
        <w:t>d and presented to the B</w:t>
      </w:r>
      <w:r w:rsidR="003E74FA">
        <w:t>oard of Supervisors</w:t>
      </w:r>
      <w:r w:rsidR="005E418E">
        <w:t>.</w:t>
      </w:r>
    </w:p>
    <w:p w14:paraId="5FA79EAB" w14:textId="0EC26978" w:rsidR="00293D58" w:rsidRDefault="00DD1BD5" w:rsidP="00293D58">
      <w:pPr>
        <w:pStyle w:val="ListParagraph"/>
        <w:numPr>
          <w:ilvl w:val="0"/>
          <w:numId w:val="2"/>
        </w:numPr>
      </w:pPr>
      <w:r>
        <w:t>Occupancy</w:t>
      </w:r>
      <w:r w:rsidR="00293D58">
        <w:t xml:space="preserve"> shall be phased in at the following 5-year increments commencing upon the issuance date of the use permit:</w:t>
      </w:r>
    </w:p>
    <w:p w14:paraId="3C7EFB16" w14:textId="7D5D685F" w:rsidR="00293D58" w:rsidRDefault="00293D58" w:rsidP="00293D58">
      <w:pPr>
        <w:pStyle w:val="ListParagraph"/>
        <w:numPr>
          <w:ilvl w:val="0"/>
          <w:numId w:val="6"/>
        </w:numPr>
      </w:pPr>
      <w:r>
        <w:t>412 daily occupancy at year 5.</w:t>
      </w:r>
    </w:p>
    <w:p w14:paraId="6E734338" w14:textId="037A095D" w:rsidR="00293D58" w:rsidRDefault="00293D58" w:rsidP="00293D58">
      <w:pPr>
        <w:pStyle w:val="ListParagraph"/>
        <w:numPr>
          <w:ilvl w:val="0"/>
          <w:numId w:val="6"/>
        </w:numPr>
      </w:pPr>
      <w:r>
        <w:t>499 daily occupancy at year 10.</w:t>
      </w:r>
    </w:p>
    <w:p w14:paraId="56E6BF71" w14:textId="7BC5EA35" w:rsidR="00293D58" w:rsidRDefault="00293D58" w:rsidP="00293D58">
      <w:pPr>
        <w:pStyle w:val="ListParagraph"/>
        <w:numPr>
          <w:ilvl w:val="0"/>
          <w:numId w:val="6"/>
        </w:numPr>
      </w:pPr>
      <w:r>
        <w:t>594 daily occupancy at year 15.</w:t>
      </w:r>
    </w:p>
    <w:p w14:paraId="75268F6C" w14:textId="72B6E0A5" w:rsidR="00293D58" w:rsidRDefault="00293D58" w:rsidP="00293D58">
      <w:pPr>
        <w:pStyle w:val="ListParagraph"/>
        <w:numPr>
          <w:ilvl w:val="0"/>
          <w:numId w:val="6"/>
        </w:numPr>
      </w:pPr>
      <w:r>
        <w:t>622 daily occupancy at year 20.</w:t>
      </w:r>
    </w:p>
    <w:p w14:paraId="3A845A69" w14:textId="0A604208" w:rsidR="00293D58" w:rsidRDefault="00293D58" w:rsidP="004640BA">
      <w:pPr>
        <w:pStyle w:val="ListParagraph"/>
        <w:numPr>
          <w:ilvl w:val="0"/>
          <w:numId w:val="2"/>
        </w:numPr>
      </w:pPr>
      <w:r>
        <w:t>All groundwater wells shall be utilized for domestic purposes only.</w:t>
      </w:r>
    </w:p>
    <w:p w14:paraId="063D28BC" w14:textId="54CCEAE7" w:rsidR="00035C16" w:rsidRDefault="003211ED" w:rsidP="00B01D22">
      <w:pPr>
        <w:pStyle w:val="ListParagraph"/>
        <w:numPr>
          <w:ilvl w:val="0"/>
          <w:numId w:val="2"/>
        </w:numPr>
      </w:pPr>
      <w:r>
        <w:t xml:space="preserve">The applicant shall defend, indemnify, and hold harmless the County, its agents, officers, and employees from any claim, action, or proceeding (collectively, “Action”) against the County, its agents (including consultants), officers or employees to attack, set aside, void, or annul the approvals, or any part thereof, or any decision, determination, or Action, made or taken approving, supplementing, or sustaining, the project or any part thereof, or any related approvals or project conditions imposed by the County or any of its agencies, </w:t>
      </w:r>
      <w:r>
        <w:lastRenderedPageBreak/>
        <w:t>departments, commissions, agents (including consultants), officers or employees, concerning the project, or to impose personal liability against such agents (including consultants), officer or employees resulting from their non-negligent involvement in the project, which action is brought within the time period provided by law, including any claim for private attorney general fees claimed by or awarded to any party from the County. Said responsibilities shall be pursuant to the County’s standard Agreement for Indemnification in effect at the time of application approval or Agreement for Indemnification if signed and effective prior to the date the application is approved. In the event that the applicant fails to comply with the terms of the applicable agreement, the applicant does hereby consent and agree to all remedies in said agreement and does hereby agree and consent to the County rescinding all applicable project approvals.</w:t>
      </w:r>
    </w:p>
    <w:sectPr w:rsidR="00035C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FA60" w14:textId="77777777" w:rsidR="00C81569" w:rsidRDefault="00C81569" w:rsidP="00274C5B">
      <w:pPr>
        <w:spacing w:before="0" w:after="0" w:line="240" w:lineRule="auto"/>
      </w:pPr>
      <w:r>
        <w:separator/>
      </w:r>
    </w:p>
  </w:endnote>
  <w:endnote w:type="continuationSeparator" w:id="0">
    <w:p w14:paraId="79CF7753" w14:textId="77777777" w:rsidR="00C81569" w:rsidRDefault="00C81569" w:rsidP="00274C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87B7" w14:textId="3A29EFA2" w:rsidR="00274C5B" w:rsidRDefault="00274C5B">
    <w:pPr>
      <w:pStyle w:val="Footer"/>
      <w:rPr>
        <w:sz w:val="20"/>
        <w:szCs w:val="20"/>
      </w:rPr>
    </w:pPr>
    <w:r w:rsidRPr="00274C5B">
      <w:rPr>
        <w:sz w:val="20"/>
        <w:szCs w:val="20"/>
      </w:rPr>
      <w:t>Exhibit A-1 – Notations and Conditions of Approval</w:t>
    </w:r>
  </w:p>
  <w:p w14:paraId="0BBBD241" w14:textId="02960AB3" w:rsidR="00326677" w:rsidRPr="00274C5B" w:rsidRDefault="002358DC" w:rsidP="009640FC">
    <w:pPr>
      <w:pStyle w:val="Footer"/>
      <w:rPr>
        <w:sz w:val="20"/>
        <w:szCs w:val="20"/>
      </w:rPr>
    </w:pPr>
    <w:r>
      <w:rPr>
        <w:sz w:val="20"/>
        <w:szCs w:val="20"/>
      </w:rPr>
      <w:t>Kidder Creek Orchard Camp</w:t>
    </w:r>
    <w:r w:rsidR="002D66E2" w:rsidRPr="002D66E2">
      <w:rPr>
        <w:sz w:val="20"/>
        <w:szCs w:val="20"/>
      </w:rPr>
      <w:t xml:space="preserve"> Zone Change (Z-</w:t>
    </w:r>
    <w:r>
      <w:rPr>
        <w:sz w:val="20"/>
        <w:szCs w:val="20"/>
      </w:rPr>
      <w:t>14</w:t>
    </w:r>
    <w:r w:rsidR="002D66E2" w:rsidRPr="002D66E2">
      <w:rPr>
        <w:sz w:val="20"/>
        <w:szCs w:val="20"/>
      </w:rPr>
      <w:t>-</w:t>
    </w:r>
    <w:r w:rsidR="00637D6E">
      <w:rPr>
        <w:sz w:val="20"/>
        <w:szCs w:val="20"/>
      </w:rPr>
      <w:t>01</w:t>
    </w:r>
    <w:r w:rsidR="002D66E2" w:rsidRPr="002D66E2">
      <w:rPr>
        <w:sz w:val="20"/>
        <w:szCs w:val="20"/>
      </w:rPr>
      <w:t>) and Use Permit (UP-</w:t>
    </w:r>
    <w:r>
      <w:rPr>
        <w:sz w:val="20"/>
        <w:szCs w:val="20"/>
      </w:rPr>
      <w:t>11</w:t>
    </w:r>
    <w:r w:rsidR="002D66E2" w:rsidRPr="002D66E2">
      <w:rPr>
        <w:sz w:val="20"/>
        <w:szCs w:val="20"/>
      </w:rPr>
      <w:t>-</w:t>
    </w:r>
    <w:r>
      <w:rPr>
        <w:sz w:val="20"/>
        <w:szCs w:val="20"/>
      </w:rPr>
      <w:t>15</w:t>
    </w:r>
    <w:r w:rsidR="002D66E2" w:rsidRPr="002D66E2">
      <w:rPr>
        <w:sz w:val="20"/>
        <w:szCs w:val="20"/>
      </w:rPr>
      <w:t>)</w:t>
    </w:r>
    <w:r w:rsidR="005336B7">
      <w:rPr>
        <w:sz w:val="20"/>
        <w:szCs w:val="20"/>
      </w:rPr>
      <w:tab/>
    </w:r>
    <w:r w:rsidR="00302857" w:rsidRPr="00274C5B">
      <w:rPr>
        <w:sz w:val="20"/>
        <w:szCs w:val="20"/>
      </w:rPr>
      <w:t xml:space="preserve">Page </w:t>
    </w:r>
    <w:r w:rsidR="00302857" w:rsidRPr="00274C5B">
      <w:rPr>
        <w:sz w:val="20"/>
        <w:szCs w:val="20"/>
      </w:rPr>
      <w:fldChar w:fldCharType="begin"/>
    </w:r>
    <w:r w:rsidR="00302857" w:rsidRPr="00274C5B">
      <w:rPr>
        <w:sz w:val="20"/>
        <w:szCs w:val="20"/>
      </w:rPr>
      <w:instrText xml:space="preserve"> PAGE  \* Arabic  \* MERGEFORMAT </w:instrText>
    </w:r>
    <w:r w:rsidR="00302857" w:rsidRPr="00274C5B">
      <w:rPr>
        <w:sz w:val="20"/>
        <w:szCs w:val="20"/>
      </w:rPr>
      <w:fldChar w:fldCharType="separate"/>
    </w:r>
    <w:r w:rsidR="008F520C">
      <w:rPr>
        <w:noProof/>
        <w:sz w:val="20"/>
        <w:szCs w:val="20"/>
      </w:rPr>
      <w:t>1</w:t>
    </w:r>
    <w:r w:rsidR="00302857" w:rsidRPr="00274C5B">
      <w:rPr>
        <w:sz w:val="20"/>
        <w:szCs w:val="20"/>
      </w:rPr>
      <w:fldChar w:fldCharType="end"/>
    </w:r>
    <w:r w:rsidR="00302857" w:rsidRPr="00274C5B">
      <w:rPr>
        <w:sz w:val="20"/>
        <w:szCs w:val="20"/>
      </w:rPr>
      <w:t xml:space="preserve"> of </w:t>
    </w:r>
    <w:r w:rsidR="00302857" w:rsidRPr="00274C5B">
      <w:rPr>
        <w:sz w:val="20"/>
        <w:szCs w:val="20"/>
      </w:rPr>
      <w:fldChar w:fldCharType="begin"/>
    </w:r>
    <w:r w:rsidR="00302857" w:rsidRPr="00274C5B">
      <w:rPr>
        <w:sz w:val="20"/>
        <w:szCs w:val="20"/>
      </w:rPr>
      <w:instrText xml:space="preserve"> NUMPAGES  \* Arabic  \* MERGEFORMAT </w:instrText>
    </w:r>
    <w:r w:rsidR="00302857" w:rsidRPr="00274C5B">
      <w:rPr>
        <w:sz w:val="20"/>
        <w:szCs w:val="20"/>
      </w:rPr>
      <w:fldChar w:fldCharType="separate"/>
    </w:r>
    <w:r w:rsidR="008F520C">
      <w:rPr>
        <w:noProof/>
        <w:sz w:val="20"/>
        <w:szCs w:val="20"/>
      </w:rPr>
      <w:t>3</w:t>
    </w:r>
    <w:r w:rsidR="00302857" w:rsidRPr="00274C5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88D2" w14:textId="77777777" w:rsidR="00C81569" w:rsidRDefault="00C81569" w:rsidP="00274C5B">
      <w:pPr>
        <w:spacing w:before="0" w:after="0" w:line="240" w:lineRule="auto"/>
      </w:pPr>
      <w:r>
        <w:separator/>
      </w:r>
    </w:p>
  </w:footnote>
  <w:footnote w:type="continuationSeparator" w:id="0">
    <w:p w14:paraId="09641A77" w14:textId="77777777" w:rsidR="00C81569" w:rsidRDefault="00C81569" w:rsidP="00274C5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4F97"/>
    <w:multiLevelType w:val="hybridMultilevel"/>
    <w:tmpl w:val="EEFCE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621D3"/>
    <w:multiLevelType w:val="hybridMultilevel"/>
    <w:tmpl w:val="3C0E335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D469E1"/>
    <w:multiLevelType w:val="hybridMultilevel"/>
    <w:tmpl w:val="ED4AED3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E143EE"/>
    <w:multiLevelType w:val="hybridMultilevel"/>
    <w:tmpl w:val="A2728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62070C5"/>
    <w:multiLevelType w:val="hybridMultilevel"/>
    <w:tmpl w:val="5B1808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92B49"/>
    <w:multiLevelType w:val="hybridMultilevel"/>
    <w:tmpl w:val="AF90D3A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655329774">
    <w:abstractNumId w:val="0"/>
  </w:num>
  <w:num w:numId="2" w16cid:durableId="1495220087">
    <w:abstractNumId w:val="4"/>
  </w:num>
  <w:num w:numId="3" w16cid:durableId="1081413885">
    <w:abstractNumId w:val="2"/>
  </w:num>
  <w:num w:numId="4" w16cid:durableId="1375036719">
    <w:abstractNumId w:val="5"/>
  </w:num>
  <w:num w:numId="5" w16cid:durableId="1646273398">
    <w:abstractNumId w:val="1"/>
  </w:num>
  <w:num w:numId="6" w16cid:durableId="1131899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69"/>
    <w:rsid w:val="00021427"/>
    <w:rsid w:val="00035C16"/>
    <w:rsid w:val="00037F83"/>
    <w:rsid w:val="000D474D"/>
    <w:rsid w:val="00145BED"/>
    <w:rsid w:val="00170DB6"/>
    <w:rsid w:val="001812C7"/>
    <w:rsid w:val="00184D8D"/>
    <w:rsid w:val="00187A71"/>
    <w:rsid w:val="001915B8"/>
    <w:rsid w:val="001D4382"/>
    <w:rsid w:val="001E0BF8"/>
    <w:rsid w:val="001E2E1F"/>
    <w:rsid w:val="00204269"/>
    <w:rsid w:val="00232EAC"/>
    <w:rsid w:val="002358DC"/>
    <w:rsid w:val="00254401"/>
    <w:rsid w:val="00254E66"/>
    <w:rsid w:val="00266008"/>
    <w:rsid w:val="00274C5B"/>
    <w:rsid w:val="00290699"/>
    <w:rsid w:val="00293D58"/>
    <w:rsid w:val="00295A3E"/>
    <w:rsid w:val="00295E21"/>
    <w:rsid w:val="00296A57"/>
    <w:rsid w:val="002A2A4C"/>
    <w:rsid w:val="002A4726"/>
    <w:rsid w:val="002A72F4"/>
    <w:rsid w:val="002D66E2"/>
    <w:rsid w:val="002E4511"/>
    <w:rsid w:val="00302857"/>
    <w:rsid w:val="003211ED"/>
    <w:rsid w:val="00326677"/>
    <w:rsid w:val="00327A33"/>
    <w:rsid w:val="00361053"/>
    <w:rsid w:val="00367FD4"/>
    <w:rsid w:val="003930E9"/>
    <w:rsid w:val="003E74FA"/>
    <w:rsid w:val="003F25EB"/>
    <w:rsid w:val="004640BA"/>
    <w:rsid w:val="004774CD"/>
    <w:rsid w:val="004C0F74"/>
    <w:rsid w:val="004C23BC"/>
    <w:rsid w:val="004D3497"/>
    <w:rsid w:val="004D5F1B"/>
    <w:rsid w:val="00527D47"/>
    <w:rsid w:val="00532989"/>
    <w:rsid w:val="005336B7"/>
    <w:rsid w:val="005458A7"/>
    <w:rsid w:val="0059315E"/>
    <w:rsid w:val="005E418E"/>
    <w:rsid w:val="005E4774"/>
    <w:rsid w:val="005E4B24"/>
    <w:rsid w:val="00637D6E"/>
    <w:rsid w:val="00657483"/>
    <w:rsid w:val="00664081"/>
    <w:rsid w:val="00664AC6"/>
    <w:rsid w:val="00682F1A"/>
    <w:rsid w:val="0068314F"/>
    <w:rsid w:val="00687EED"/>
    <w:rsid w:val="006A7CB2"/>
    <w:rsid w:val="006F7CB0"/>
    <w:rsid w:val="00743A5C"/>
    <w:rsid w:val="007957E3"/>
    <w:rsid w:val="00815270"/>
    <w:rsid w:val="00826AFA"/>
    <w:rsid w:val="00870CDD"/>
    <w:rsid w:val="00893D17"/>
    <w:rsid w:val="008E2502"/>
    <w:rsid w:val="008F520C"/>
    <w:rsid w:val="00932F12"/>
    <w:rsid w:val="00952380"/>
    <w:rsid w:val="009640FC"/>
    <w:rsid w:val="0099369D"/>
    <w:rsid w:val="00A109BD"/>
    <w:rsid w:val="00A20EEE"/>
    <w:rsid w:val="00A42831"/>
    <w:rsid w:val="00A55B5B"/>
    <w:rsid w:val="00A97500"/>
    <w:rsid w:val="00AA1934"/>
    <w:rsid w:val="00AB31F8"/>
    <w:rsid w:val="00AC5D80"/>
    <w:rsid w:val="00AF55CB"/>
    <w:rsid w:val="00B01D22"/>
    <w:rsid w:val="00B46EA8"/>
    <w:rsid w:val="00B544A8"/>
    <w:rsid w:val="00B56D95"/>
    <w:rsid w:val="00B61683"/>
    <w:rsid w:val="00B61F13"/>
    <w:rsid w:val="00B76F59"/>
    <w:rsid w:val="00B97C3C"/>
    <w:rsid w:val="00BA6345"/>
    <w:rsid w:val="00BC2B2B"/>
    <w:rsid w:val="00BD1CC1"/>
    <w:rsid w:val="00BD4DA8"/>
    <w:rsid w:val="00BF58BC"/>
    <w:rsid w:val="00C04DB9"/>
    <w:rsid w:val="00C20312"/>
    <w:rsid w:val="00C4692A"/>
    <w:rsid w:val="00C63F12"/>
    <w:rsid w:val="00C66569"/>
    <w:rsid w:val="00C72625"/>
    <w:rsid w:val="00C81569"/>
    <w:rsid w:val="00CA03EA"/>
    <w:rsid w:val="00CF45AD"/>
    <w:rsid w:val="00D35EC7"/>
    <w:rsid w:val="00D460D2"/>
    <w:rsid w:val="00D71DB1"/>
    <w:rsid w:val="00D947BF"/>
    <w:rsid w:val="00DD1BD5"/>
    <w:rsid w:val="00DE113F"/>
    <w:rsid w:val="00E2778A"/>
    <w:rsid w:val="00E45A00"/>
    <w:rsid w:val="00E61838"/>
    <w:rsid w:val="00E937E7"/>
    <w:rsid w:val="00EE375E"/>
    <w:rsid w:val="00F1282B"/>
    <w:rsid w:val="00F4123A"/>
    <w:rsid w:val="00F52206"/>
    <w:rsid w:val="00FA3AF4"/>
    <w:rsid w:val="00FE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8DBE6"/>
  <w15:docId w15:val="{94D18D1B-496E-4FBD-BC5B-6BCB62CD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BalloonText">
    <w:name w:val="Balloon Text"/>
    <w:basedOn w:val="Normal"/>
    <w:link w:val="BalloonTextChar"/>
    <w:uiPriority w:val="99"/>
    <w:semiHidden/>
    <w:unhideWhenUsed/>
    <w:rsid w:val="00CF45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5AD"/>
    <w:rPr>
      <w:rFonts w:ascii="Segoe UI" w:hAnsi="Segoe UI" w:cs="Segoe UI"/>
      <w:sz w:val="18"/>
      <w:szCs w:val="18"/>
    </w:rPr>
  </w:style>
  <w:style w:type="character" w:styleId="Hyperlink">
    <w:name w:val="Hyperlink"/>
    <w:basedOn w:val="DefaultParagraphFont"/>
    <w:uiPriority w:val="99"/>
    <w:unhideWhenUsed/>
    <w:rsid w:val="00187A71"/>
    <w:rPr>
      <w:color w:val="0000FF" w:themeColor="hyperlink"/>
      <w:u w:val="single"/>
    </w:rPr>
  </w:style>
  <w:style w:type="character" w:customStyle="1" w:styleId="UnresolvedMention1">
    <w:name w:val="Unresolved Mention1"/>
    <w:basedOn w:val="DefaultParagraphFont"/>
    <w:uiPriority w:val="99"/>
    <w:semiHidden/>
    <w:unhideWhenUsed/>
    <w:rsid w:val="00187A71"/>
    <w:rPr>
      <w:color w:val="605E5C"/>
      <w:shd w:val="clear" w:color="auto" w:fill="E1DFDD"/>
    </w:rPr>
  </w:style>
  <w:style w:type="paragraph" w:styleId="Header">
    <w:name w:val="header"/>
    <w:basedOn w:val="Normal"/>
    <w:link w:val="HeaderChar"/>
    <w:uiPriority w:val="99"/>
    <w:unhideWhenUsed/>
    <w:rsid w:val="00274C5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4C5B"/>
    <w:rPr>
      <w:rFonts w:ascii="Arial" w:hAnsi="Arial"/>
    </w:rPr>
  </w:style>
  <w:style w:type="paragraph" w:styleId="Footer">
    <w:name w:val="footer"/>
    <w:basedOn w:val="Normal"/>
    <w:link w:val="FooterChar"/>
    <w:uiPriority w:val="99"/>
    <w:unhideWhenUsed/>
    <w:rsid w:val="00274C5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74C5B"/>
    <w:rPr>
      <w:rFonts w:ascii="Arial" w:hAnsi="Arial"/>
    </w:rPr>
  </w:style>
  <w:style w:type="character" w:styleId="CommentReference">
    <w:name w:val="annotation reference"/>
    <w:basedOn w:val="DefaultParagraphFont"/>
    <w:uiPriority w:val="99"/>
    <w:semiHidden/>
    <w:unhideWhenUsed/>
    <w:rsid w:val="004774CD"/>
    <w:rPr>
      <w:sz w:val="16"/>
      <w:szCs w:val="16"/>
    </w:rPr>
  </w:style>
  <w:style w:type="paragraph" w:styleId="CommentText">
    <w:name w:val="annotation text"/>
    <w:basedOn w:val="Normal"/>
    <w:link w:val="CommentTextChar"/>
    <w:uiPriority w:val="99"/>
    <w:semiHidden/>
    <w:unhideWhenUsed/>
    <w:rsid w:val="004774CD"/>
    <w:pPr>
      <w:spacing w:line="240" w:lineRule="auto"/>
    </w:pPr>
    <w:rPr>
      <w:sz w:val="20"/>
      <w:szCs w:val="20"/>
    </w:rPr>
  </w:style>
  <w:style w:type="character" w:customStyle="1" w:styleId="CommentTextChar">
    <w:name w:val="Comment Text Char"/>
    <w:basedOn w:val="DefaultParagraphFont"/>
    <w:link w:val="CommentText"/>
    <w:uiPriority w:val="99"/>
    <w:semiHidden/>
    <w:rsid w:val="004774C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74CD"/>
    <w:rPr>
      <w:b/>
      <w:bCs/>
    </w:rPr>
  </w:style>
  <w:style w:type="character" w:customStyle="1" w:styleId="CommentSubjectChar">
    <w:name w:val="Comment Subject Char"/>
    <w:basedOn w:val="CommentTextChar"/>
    <w:link w:val="CommentSubject"/>
    <w:uiPriority w:val="99"/>
    <w:semiHidden/>
    <w:rsid w:val="004774CD"/>
    <w:rPr>
      <w:rFonts w:ascii="Arial" w:hAnsi="Arial"/>
      <w:b/>
      <w:bCs/>
      <w:sz w:val="20"/>
      <w:szCs w:val="20"/>
    </w:rPr>
  </w:style>
  <w:style w:type="paragraph" w:styleId="Revision">
    <w:name w:val="Revision"/>
    <w:hidden/>
    <w:uiPriority w:val="99"/>
    <w:semiHidden/>
    <w:rsid w:val="00893D1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subject/>
  <dc:creator>Rick Dean</dc:creator>
  <cp:keywords/>
  <dc:description/>
  <cp:lastModifiedBy>Hailey Lang</cp:lastModifiedBy>
  <cp:revision>3</cp:revision>
  <cp:lastPrinted>2022-08-08T21:08:00Z</cp:lastPrinted>
  <dcterms:created xsi:type="dcterms:W3CDTF">2023-04-21T17:59:00Z</dcterms:created>
  <dcterms:modified xsi:type="dcterms:W3CDTF">2023-04-21T18:18:00Z</dcterms:modified>
</cp:coreProperties>
</file>